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AC6" w:rsidRPr="001D3470" w:rsidRDefault="007C4AC6" w:rsidP="001D3470">
      <w:pPr>
        <w:pStyle w:val="Ttulo2"/>
        <w:spacing w:before="0" w:beforeAutospacing="0" w:after="480" w:afterAutospacing="0"/>
        <w:jc w:val="both"/>
        <w:rPr>
          <w:rFonts w:ascii="Arial" w:hAnsi="Arial" w:cs="Arial"/>
          <w:b w:val="0"/>
          <w:bCs w:val="0"/>
          <w:sz w:val="24"/>
          <w:szCs w:val="24"/>
        </w:rPr>
      </w:pPr>
      <w:r w:rsidRPr="001D3470">
        <w:rPr>
          <w:rFonts w:ascii="Arial" w:hAnsi="Arial" w:cs="Arial"/>
          <w:b w:val="0"/>
          <w:sz w:val="24"/>
          <w:szCs w:val="24"/>
        </w:rPr>
        <w:t xml:space="preserve">O Município Cruzeiro do Sul/ RS, por intermédio do Prefeito João Henrique </w:t>
      </w:r>
      <w:proofErr w:type="spellStart"/>
      <w:r w:rsidRPr="001D3470">
        <w:rPr>
          <w:rFonts w:ascii="Arial" w:hAnsi="Arial" w:cs="Arial"/>
          <w:b w:val="0"/>
          <w:sz w:val="24"/>
          <w:szCs w:val="24"/>
        </w:rPr>
        <w:t>Dullius</w:t>
      </w:r>
      <w:proofErr w:type="spellEnd"/>
      <w:r w:rsidRPr="001D3470">
        <w:rPr>
          <w:rFonts w:ascii="Arial" w:hAnsi="Arial" w:cs="Arial"/>
          <w:b w:val="0"/>
          <w:sz w:val="24"/>
          <w:szCs w:val="24"/>
        </w:rPr>
        <w:t xml:space="preserve">, em conformidade com as atribuições legais que lhe são conferidas pelo art. 145, III da Constituição Federal c/c </w:t>
      </w:r>
      <w:proofErr w:type="spellStart"/>
      <w:r w:rsidRPr="001D3470">
        <w:rPr>
          <w:rFonts w:ascii="Arial" w:hAnsi="Arial" w:cs="Arial"/>
          <w:b w:val="0"/>
          <w:sz w:val="24"/>
          <w:szCs w:val="24"/>
        </w:rPr>
        <w:t>arts</w:t>
      </w:r>
      <w:proofErr w:type="spellEnd"/>
      <w:r w:rsidRPr="001D3470">
        <w:rPr>
          <w:rFonts w:ascii="Arial" w:hAnsi="Arial" w:cs="Arial"/>
          <w:b w:val="0"/>
          <w:sz w:val="24"/>
          <w:szCs w:val="24"/>
        </w:rPr>
        <w:t xml:space="preserve">. 81 e 82 do Código Tributário Nacional, Decreto Lei Federal nº 195 de 24/02/1967, Código Tributário Municipal – Lei </w:t>
      </w:r>
      <w:r w:rsidRPr="001D3470">
        <w:rPr>
          <w:rFonts w:ascii="Arial" w:hAnsi="Arial" w:cs="Arial"/>
          <w:b w:val="0"/>
          <w:bCs w:val="0"/>
          <w:sz w:val="24"/>
          <w:szCs w:val="24"/>
        </w:rPr>
        <w:t>082-01/1997</w:t>
      </w:r>
      <w:r w:rsidRPr="001D3470">
        <w:rPr>
          <w:rFonts w:ascii="Arial" w:hAnsi="Arial" w:cs="Arial"/>
          <w:b w:val="0"/>
          <w:sz w:val="21"/>
          <w:szCs w:val="21"/>
        </w:rPr>
        <w:t>, </w:t>
      </w:r>
      <w:r w:rsidRPr="001D3470">
        <w:rPr>
          <w:rFonts w:ascii="Arial" w:hAnsi="Arial" w:cs="Arial"/>
          <w:sz w:val="21"/>
          <w:szCs w:val="21"/>
        </w:rPr>
        <w:t>TORNA PÚBLICO</w:t>
      </w:r>
      <w:r w:rsidRPr="001D3470">
        <w:rPr>
          <w:rFonts w:ascii="Arial" w:hAnsi="Arial" w:cs="Arial"/>
          <w:b w:val="0"/>
          <w:sz w:val="21"/>
          <w:szCs w:val="21"/>
        </w:rPr>
        <w:t xml:space="preserve"> a quem interessar possa, em especial aos proprietários, titulares do domínio útil ou possuidores a qualquer título dos imóveis </w:t>
      </w:r>
      <w:proofErr w:type="gramStart"/>
      <w:r w:rsidRPr="001D3470">
        <w:rPr>
          <w:rFonts w:ascii="Arial" w:hAnsi="Arial" w:cs="Arial"/>
          <w:b w:val="0"/>
          <w:sz w:val="21"/>
          <w:szCs w:val="21"/>
        </w:rPr>
        <w:t>localizados no</w:t>
      </w:r>
      <w:r w:rsidR="00F72E51">
        <w:rPr>
          <w:rFonts w:ascii="Arial" w:hAnsi="Arial" w:cs="Arial"/>
          <w:b w:val="0"/>
          <w:sz w:val="21"/>
          <w:szCs w:val="21"/>
        </w:rPr>
        <w:t>s</w:t>
      </w:r>
      <w:r w:rsidRPr="001D3470">
        <w:rPr>
          <w:rFonts w:ascii="Arial" w:hAnsi="Arial" w:cs="Arial"/>
          <w:b w:val="0"/>
          <w:sz w:val="21"/>
          <w:szCs w:val="21"/>
        </w:rPr>
        <w:t xml:space="preserve"> trecho</w:t>
      </w:r>
      <w:r w:rsidR="00F72E51">
        <w:rPr>
          <w:rFonts w:ascii="Arial" w:hAnsi="Arial" w:cs="Arial"/>
          <w:b w:val="0"/>
          <w:sz w:val="21"/>
          <w:szCs w:val="21"/>
        </w:rPr>
        <w:t>s</w:t>
      </w:r>
      <w:r w:rsidRPr="001D3470">
        <w:rPr>
          <w:rFonts w:ascii="Arial" w:hAnsi="Arial" w:cs="Arial"/>
          <w:b w:val="0"/>
          <w:sz w:val="21"/>
          <w:szCs w:val="21"/>
        </w:rPr>
        <w:t xml:space="preserve"> </w:t>
      </w:r>
      <w:r w:rsidR="00F72E51">
        <w:rPr>
          <w:rFonts w:ascii="Arial" w:hAnsi="Arial" w:cs="Arial"/>
          <w:b w:val="0"/>
          <w:sz w:val="21"/>
          <w:szCs w:val="21"/>
        </w:rPr>
        <w:t>das vias</w:t>
      </w:r>
      <w:r w:rsidRPr="001D3470">
        <w:rPr>
          <w:rFonts w:ascii="Arial" w:hAnsi="Arial" w:cs="Arial"/>
          <w:b w:val="0"/>
          <w:sz w:val="21"/>
          <w:szCs w:val="21"/>
        </w:rPr>
        <w:t xml:space="preserve"> do perímetro urbano identificado</w:t>
      </w:r>
      <w:proofErr w:type="gramEnd"/>
      <w:r w:rsidRPr="001D3470">
        <w:rPr>
          <w:rFonts w:ascii="Arial" w:hAnsi="Arial" w:cs="Arial"/>
          <w:b w:val="0"/>
          <w:sz w:val="21"/>
          <w:szCs w:val="21"/>
        </w:rPr>
        <w:t xml:space="preserve"> neste Edital, que serão executadas pelo Município as obras de melhorias de que trata este Edital, apresentando-se a estimativa de custo, bem como a avaliação dos imóveis antes da execução das obras para fins de possível cobrança da Contribuição de Melhoria decorrente de obra de pavimentação </w:t>
      </w:r>
      <w:r w:rsidR="00C05904">
        <w:rPr>
          <w:rFonts w:ascii="Arial" w:hAnsi="Arial" w:cs="Arial"/>
          <w:b w:val="0"/>
          <w:sz w:val="21"/>
          <w:szCs w:val="21"/>
        </w:rPr>
        <w:t>na Rua Dom Pedro II (da RS 130 em direção ao Bairro</w:t>
      </w:r>
      <w:r w:rsidR="00F72E51">
        <w:rPr>
          <w:rFonts w:ascii="Arial" w:hAnsi="Arial" w:cs="Arial"/>
          <w:b w:val="0"/>
          <w:sz w:val="21"/>
          <w:szCs w:val="21"/>
        </w:rPr>
        <w:t xml:space="preserve"> – 425,00m) </w:t>
      </w:r>
      <w:r w:rsidR="00C05904">
        <w:rPr>
          <w:rFonts w:ascii="Arial" w:hAnsi="Arial" w:cs="Arial"/>
          <w:b w:val="0"/>
          <w:sz w:val="21"/>
          <w:szCs w:val="21"/>
        </w:rPr>
        <w:t xml:space="preserve">e Rua Lorenz </w:t>
      </w:r>
      <w:proofErr w:type="spellStart"/>
      <w:r w:rsidR="00C05904">
        <w:rPr>
          <w:rFonts w:ascii="Arial" w:hAnsi="Arial" w:cs="Arial"/>
          <w:b w:val="0"/>
          <w:sz w:val="21"/>
          <w:szCs w:val="21"/>
        </w:rPr>
        <w:t>Dewes</w:t>
      </w:r>
      <w:proofErr w:type="spellEnd"/>
      <w:r w:rsidR="00F72E51">
        <w:rPr>
          <w:rFonts w:ascii="Arial" w:hAnsi="Arial" w:cs="Arial"/>
          <w:b w:val="0"/>
          <w:sz w:val="21"/>
          <w:szCs w:val="21"/>
        </w:rPr>
        <w:t xml:space="preserve"> (entre as RS 130 e a Rua Dom Pedro II – 198,00m</w:t>
      </w:r>
      <w:r w:rsidRPr="001D3470">
        <w:rPr>
          <w:rFonts w:ascii="Arial" w:hAnsi="Arial" w:cs="Arial"/>
          <w:b w:val="0"/>
          <w:sz w:val="21"/>
          <w:szCs w:val="21"/>
        </w:rPr>
        <w:t xml:space="preserve">. </w:t>
      </w:r>
      <w:r w:rsidR="001D3470">
        <w:rPr>
          <w:rFonts w:ascii="Arial" w:hAnsi="Arial" w:cs="Arial"/>
          <w:b w:val="0"/>
          <w:sz w:val="21"/>
          <w:szCs w:val="21"/>
        </w:rPr>
        <w:t>C</w:t>
      </w:r>
      <w:r w:rsidRPr="001D3470">
        <w:rPr>
          <w:rFonts w:ascii="Arial" w:hAnsi="Arial" w:cs="Arial"/>
          <w:b w:val="0"/>
          <w:sz w:val="21"/>
          <w:szCs w:val="21"/>
        </w:rPr>
        <w:t>onforme segue:</w:t>
      </w:r>
    </w:p>
    <w:p w:rsidR="007C4AC6" w:rsidRPr="001D3470" w:rsidRDefault="007C4AC6" w:rsidP="001D347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DO FATO GERADOR DO TRIBUTO: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 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A Contribuição de Melhoria tem como fato gerador a valorização de imóvel localizado em área beneficiária direta ou indiretamente por obra pública, conforme Código Tributário Municipal, e em razão da obra pública de pavimentação </w:t>
      </w:r>
      <w:r w:rsidR="00F72E51">
        <w:rPr>
          <w:rFonts w:ascii="Arial" w:eastAsia="Times New Roman" w:hAnsi="Arial" w:cs="Arial"/>
          <w:sz w:val="21"/>
          <w:szCs w:val="21"/>
          <w:lang w:eastAsia="pt-BR"/>
        </w:rPr>
        <w:t xml:space="preserve">de trecho da Rua Dom Pedro II e da Rua Lorenz </w:t>
      </w:r>
      <w:proofErr w:type="spellStart"/>
      <w:r w:rsidR="00F72E51">
        <w:rPr>
          <w:rFonts w:ascii="Arial" w:eastAsia="Times New Roman" w:hAnsi="Arial" w:cs="Arial"/>
          <w:sz w:val="21"/>
          <w:szCs w:val="21"/>
          <w:lang w:eastAsia="pt-BR"/>
        </w:rPr>
        <w:t>Dewes</w:t>
      </w:r>
      <w:proofErr w:type="spellEnd"/>
      <w:r w:rsidR="00684639" w:rsidRPr="001D3470">
        <w:rPr>
          <w:rFonts w:ascii="Arial" w:eastAsia="Times New Roman" w:hAnsi="Arial" w:cs="Arial"/>
          <w:sz w:val="21"/>
          <w:szCs w:val="21"/>
          <w:lang w:eastAsia="pt-BR"/>
        </w:rPr>
        <w:t>, conforme projeto executivo, memoriais e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orçamento, estando à cobrança limitada à valorização que sobrevier ao imóvel.</w:t>
      </w:r>
    </w:p>
    <w:p w:rsidR="007C4AC6" w:rsidRPr="001D3470" w:rsidRDefault="007C4AC6" w:rsidP="001D347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DO LOCAL DAS OBRAS: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As obras de me</w:t>
      </w:r>
      <w:r w:rsidR="00684639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lhoria serão executadas </w:t>
      </w:r>
      <w:r w:rsidR="00F72E51">
        <w:rPr>
          <w:rFonts w:ascii="Arial" w:hAnsi="Arial" w:cs="Arial"/>
          <w:b/>
          <w:sz w:val="21"/>
          <w:szCs w:val="21"/>
        </w:rPr>
        <w:t>na Rua Dom Pedro II (da RS 130 em direção ao Bairro –</w:t>
      </w:r>
      <w:r w:rsidR="00F72E51">
        <w:rPr>
          <w:rFonts w:ascii="Arial" w:hAnsi="Arial" w:cs="Arial"/>
          <w:b/>
          <w:sz w:val="21"/>
          <w:szCs w:val="21"/>
        </w:rPr>
        <w:t xml:space="preserve"> extensão 425</w:t>
      </w:r>
      <w:r w:rsidR="00F72E51">
        <w:rPr>
          <w:rFonts w:ascii="Arial" w:hAnsi="Arial" w:cs="Arial"/>
          <w:b/>
          <w:sz w:val="21"/>
          <w:szCs w:val="21"/>
        </w:rPr>
        <w:t xml:space="preserve">,00m) e Rua Lorenz </w:t>
      </w:r>
      <w:proofErr w:type="spellStart"/>
      <w:r w:rsidR="00F72E51">
        <w:rPr>
          <w:rFonts w:ascii="Arial" w:hAnsi="Arial" w:cs="Arial"/>
          <w:b/>
          <w:sz w:val="21"/>
          <w:szCs w:val="21"/>
        </w:rPr>
        <w:t>Dewes</w:t>
      </w:r>
      <w:proofErr w:type="spellEnd"/>
      <w:r w:rsidR="00F72E51">
        <w:rPr>
          <w:rFonts w:ascii="Arial" w:hAnsi="Arial" w:cs="Arial"/>
          <w:b/>
          <w:sz w:val="21"/>
          <w:szCs w:val="21"/>
        </w:rPr>
        <w:t xml:space="preserve"> (entre as RS 130 e a Rua Dom Pedro II – </w:t>
      </w:r>
      <w:r w:rsidR="00F72E51">
        <w:rPr>
          <w:rFonts w:ascii="Arial" w:hAnsi="Arial" w:cs="Arial"/>
          <w:b/>
          <w:sz w:val="21"/>
          <w:szCs w:val="21"/>
        </w:rPr>
        <w:t xml:space="preserve">extensão </w:t>
      </w:r>
      <w:r w:rsidR="00F72E51">
        <w:rPr>
          <w:rFonts w:ascii="Arial" w:hAnsi="Arial" w:cs="Arial"/>
          <w:b/>
          <w:sz w:val="21"/>
          <w:szCs w:val="21"/>
        </w:rPr>
        <w:t>198,00m</w:t>
      </w:r>
      <w:r w:rsidR="00F72E51">
        <w:rPr>
          <w:rFonts w:ascii="Arial" w:hAnsi="Arial" w:cs="Arial"/>
          <w:b/>
          <w:sz w:val="21"/>
          <w:szCs w:val="21"/>
        </w:rPr>
        <w:t>).</w:t>
      </w:r>
    </w:p>
    <w:p w:rsidR="007C4AC6" w:rsidRPr="001D3470" w:rsidRDefault="007C4AC6" w:rsidP="001D347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PLANTAS DE SITUAÇÃO E MEMORIAL DESCRITIVO DO PROJETO:</w:t>
      </w:r>
    </w:p>
    <w:p w:rsidR="007C4AC6" w:rsidRPr="001D3470" w:rsidRDefault="00684639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As Plantas de Situação, de drenagem, pavimentação, zona beneficiada e </w:t>
      </w:r>
      <w:r w:rsidR="007C4AC6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Memorial Descritivo integram o presente Edital na forma dos anexos e se prestam a traçar diretrizes para a execução dos serviços, compreendendo todas as atividades necessárias para a execução das obras. </w:t>
      </w:r>
    </w:p>
    <w:p w:rsidR="007C4AC6" w:rsidRPr="001D3470" w:rsidRDefault="007C4AC6" w:rsidP="001D347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ORÇAMENTO DE CUSTO DA OBRA: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O custo total das obras a serem executadas é de R$ </w:t>
      </w:r>
      <w:r w:rsidR="0043600E">
        <w:rPr>
          <w:rFonts w:ascii="Arial" w:eastAsia="Times New Roman" w:hAnsi="Arial" w:cs="Arial"/>
          <w:sz w:val="21"/>
          <w:szCs w:val="21"/>
          <w:lang w:eastAsia="pt-BR"/>
        </w:rPr>
        <w:t xml:space="preserve">1.096.929,71 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(</w:t>
      </w:r>
      <w:r w:rsidR="0043600E">
        <w:rPr>
          <w:rFonts w:ascii="Arial" w:eastAsia="Times New Roman" w:hAnsi="Arial" w:cs="Arial"/>
          <w:sz w:val="21"/>
          <w:szCs w:val="21"/>
          <w:lang w:eastAsia="pt-BR"/>
        </w:rPr>
        <w:t>Um milhão</w:t>
      </w:r>
      <w:r w:rsidR="00BF13E7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</w:t>
      </w:r>
      <w:r w:rsidR="0043600E">
        <w:rPr>
          <w:rFonts w:ascii="Arial" w:eastAsia="Times New Roman" w:hAnsi="Arial" w:cs="Arial"/>
          <w:sz w:val="21"/>
          <w:szCs w:val="21"/>
          <w:lang w:eastAsia="pt-BR"/>
        </w:rPr>
        <w:t xml:space="preserve">e noventa e seis mil e </w:t>
      </w:r>
      <w:r w:rsidR="005B265C">
        <w:rPr>
          <w:rFonts w:ascii="Arial" w:eastAsia="Times New Roman" w:hAnsi="Arial" w:cs="Arial"/>
          <w:sz w:val="21"/>
          <w:szCs w:val="21"/>
          <w:lang w:eastAsia="pt-BR"/>
        </w:rPr>
        <w:t>novecentos e vinte e nove reais e setenta e um</w:t>
      </w:r>
      <w:r w:rsidR="00BF13E7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centavos)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.</w:t>
      </w:r>
    </w:p>
    <w:p w:rsidR="007C4AC6" w:rsidRPr="001D3470" w:rsidRDefault="007C4AC6" w:rsidP="001D347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PARCELA DO CUSTO DA OBRA A SER FINANCIADA PELA CONTRIBUIÇÃO E VALOR A SER SUPORTADO PELA ADMINISTRAÇÃO</w:t>
      </w:r>
      <w:r w:rsidR="00BF13E7" w:rsidRPr="001D3470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:</w:t>
      </w:r>
    </w:p>
    <w:p w:rsidR="007C4AC6" w:rsidRPr="001D3470" w:rsidRDefault="003B0019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Do</w:t>
      </w:r>
      <w:r w:rsidR="007C4AC6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custo total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,</w:t>
      </w:r>
      <w:r w:rsidR="007C4AC6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cabe aos contribuintes beneficiados com a obra, atra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vés da Contribuição de Melhoria</w:t>
      </w:r>
      <w:r w:rsidR="007C4AC6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o valor de 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R$</w:t>
      </w:r>
      <w:r w:rsidR="005B265C">
        <w:rPr>
          <w:rFonts w:ascii="Arial" w:eastAsia="Times New Roman" w:hAnsi="Arial" w:cs="Arial"/>
          <w:sz w:val="21"/>
          <w:szCs w:val="21"/>
          <w:lang w:eastAsia="pt-BR"/>
        </w:rPr>
        <w:t>158.936,06</w:t>
      </w:r>
      <w:r w:rsidR="001D3470">
        <w:rPr>
          <w:rFonts w:ascii="Arial" w:eastAsia="Times New Roman" w:hAnsi="Arial" w:cs="Arial"/>
          <w:sz w:val="21"/>
          <w:szCs w:val="21"/>
          <w:lang w:eastAsia="pt-BR"/>
        </w:rPr>
        <w:t xml:space="preserve"> (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cento e </w:t>
      </w:r>
      <w:r w:rsidR="005B265C">
        <w:rPr>
          <w:rFonts w:ascii="Arial" w:eastAsia="Times New Roman" w:hAnsi="Arial" w:cs="Arial"/>
          <w:sz w:val="21"/>
          <w:szCs w:val="21"/>
          <w:lang w:eastAsia="pt-BR"/>
        </w:rPr>
        <w:t xml:space="preserve">cinquenta e oito mil e novecentos e trinta e seis reais e seis 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centavos</w:t>
      </w:r>
      <w:r w:rsidR="007C4AC6" w:rsidRPr="001D3470">
        <w:rPr>
          <w:rFonts w:ascii="Arial" w:eastAsia="Times New Roman" w:hAnsi="Arial" w:cs="Arial"/>
          <w:sz w:val="21"/>
          <w:szCs w:val="21"/>
          <w:lang w:eastAsia="pt-BR"/>
        </w:rPr>
        <w:t>), respeitando o limite da valorização de cada imóvel.</w:t>
      </w:r>
    </w:p>
    <w:p w:rsidR="007C4AC6" w:rsidRPr="001D3470" w:rsidRDefault="007C4AC6" w:rsidP="001D347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bookmarkStart w:id="0" w:name="_GoBack"/>
      <w:bookmarkEnd w:id="0"/>
      <w:r w:rsidRPr="001D3470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DELIMITAÇÃO DA ZONA DE INFLUÊNCIA: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Constatada a ocorrência do fato gerador, a Contribuição de Melhoria será cobrada dos proprietários de imóveis situados nas áreas diretamente beneficiadas pelas obras, ou seja, dos imóveis confrontantes com o trecho</w:t>
      </w:r>
      <w:r w:rsidR="00BF13E7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a ser pavimentado</w:t>
      </w:r>
      <w:r w:rsidR="001D3470">
        <w:rPr>
          <w:rFonts w:ascii="Arial" w:eastAsia="Times New Roman" w:hAnsi="Arial" w:cs="Arial"/>
          <w:sz w:val="21"/>
          <w:szCs w:val="21"/>
          <w:lang w:eastAsia="pt-BR"/>
        </w:rPr>
        <w:t>, conforme mapa da zona beneficiada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.</w:t>
      </w:r>
    </w:p>
    <w:p w:rsidR="007C4AC6" w:rsidRPr="001D3470" w:rsidRDefault="007C4AC6" w:rsidP="001D347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b/>
          <w:bCs/>
          <w:sz w:val="21"/>
          <w:szCs w:val="21"/>
          <w:lang w:eastAsia="pt-BR"/>
        </w:rPr>
        <w:lastRenderedPageBreak/>
        <w:t>PARCELA DEVIDA POR CADA CONTRIBUINTE E DETERMINAÇÃO DO FATOR DE ABSORÇÃO: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O fator de absorção do benefício da valorização previsto para toda a zona ou para cada uma das áreas diferenciadas nela contidas será de </w:t>
      </w:r>
      <w:r w:rsidR="005B265C">
        <w:rPr>
          <w:rFonts w:ascii="Arial" w:eastAsia="Times New Roman" w:hAnsi="Arial" w:cs="Arial"/>
          <w:sz w:val="21"/>
          <w:szCs w:val="21"/>
          <w:lang w:eastAsia="pt-BR"/>
        </w:rPr>
        <w:t>14,5</w:t>
      </w:r>
      <w:r w:rsidR="003B0019" w:rsidRPr="001D3470">
        <w:rPr>
          <w:rFonts w:ascii="Arial" w:eastAsia="Times New Roman" w:hAnsi="Arial" w:cs="Arial"/>
          <w:sz w:val="21"/>
          <w:szCs w:val="21"/>
          <w:lang w:eastAsia="pt-BR"/>
        </w:rPr>
        <w:t>%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sobre o valor </w:t>
      </w:r>
      <w:r w:rsidR="001D3470">
        <w:rPr>
          <w:rFonts w:ascii="Arial" w:eastAsia="Times New Roman" w:hAnsi="Arial" w:cs="Arial"/>
          <w:sz w:val="21"/>
          <w:szCs w:val="21"/>
          <w:lang w:eastAsia="pt-BR"/>
        </w:rPr>
        <w:t>da obra. Este</w:t>
      </w:r>
      <w:proofErr w:type="gramStart"/>
      <w:r w:rsidR="001D3470">
        <w:rPr>
          <w:rFonts w:ascii="Arial" w:eastAsia="Times New Roman" w:hAnsi="Arial" w:cs="Arial"/>
          <w:sz w:val="21"/>
          <w:szCs w:val="21"/>
          <w:lang w:eastAsia="pt-BR"/>
        </w:rPr>
        <w:t xml:space="preserve">  </w:t>
      </w:r>
      <w:proofErr w:type="gramEnd"/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montante </w:t>
      </w:r>
      <w:r w:rsidR="001D3470">
        <w:rPr>
          <w:rFonts w:ascii="Arial" w:eastAsia="Times New Roman" w:hAnsi="Arial" w:cs="Arial"/>
          <w:sz w:val="21"/>
          <w:szCs w:val="21"/>
          <w:lang w:eastAsia="pt-BR"/>
        </w:rPr>
        <w:t>foi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apurado através de avaliações realizadas antes </w:t>
      </w:r>
      <w:r w:rsidR="001D3470">
        <w:rPr>
          <w:rFonts w:ascii="Arial" w:eastAsia="Times New Roman" w:hAnsi="Arial" w:cs="Arial"/>
          <w:sz w:val="21"/>
          <w:szCs w:val="21"/>
          <w:lang w:eastAsia="pt-BR"/>
        </w:rPr>
        <w:t xml:space="preserve">da obra 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e </w:t>
      </w:r>
      <w:r w:rsidR="001D3470">
        <w:rPr>
          <w:rFonts w:ascii="Arial" w:eastAsia="Times New Roman" w:hAnsi="Arial" w:cs="Arial"/>
          <w:sz w:val="21"/>
          <w:szCs w:val="21"/>
          <w:lang w:eastAsia="pt-BR"/>
        </w:rPr>
        <w:t xml:space="preserve">a estimativa </w:t>
      </w:r>
      <w:r w:rsidR="006C2BA4">
        <w:rPr>
          <w:rFonts w:ascii="Arial" w:eastAsia="Times New Roman" w:hAnsi="Arial" w:cs="Arial"/>
          <w:sz w:val="21"/>
          <w:szCs w:val="21"/>
          <w:lang w:eastAsia="pt-BR"/>
        </w:rPr>
        <w:t>pós obra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.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A base de cálculo da Contribuição de Melhoria será estabelecida pelo </w:t>
      </w:r>
      <w:r w:rsidRPr="001D3470">
        <w:rPr>
          <w:rFonts w:ascii="Arial" w:eastAsia="Times New Roman" w:hAnsi="Arial" w:cs="Arial"/>
          <w:i/>
          <w:iCs/>
          <w:sz w:val="21"/>
          <w:szCs w:val="21"/>
          <w:lang w:eastAsia="pt-BR"/>
        </w:rPr>
        <w:t>quantum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 de valorização </w:t>
      </w:r>
      <w:r w:rsidR="005C430B">
        <w:rPr>
          <w:rFonts w:ascii="Arial" w:eastAsia="Times New Roman" w:hAnsi="Arial" w:cs="Arial"/>
          <w:sz w:val="21"/>
          <w:szCs w:val="21"/>
          <w:lang w:eastAsia="pt-BR"/>
        </w:rPr>
        <w:t>imobiliária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, cujo valor será obtido pelo comparativo dos laudos de avaliação, o primeiro elaborado antes do início dos trabalhos e o segundo ao seu término.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Os laudos de avaliação gozam de presunção de veracidade e legitimidade, admitida prova em contrário, e não serão utilizados para cobrança de tributo diverso da Contribuição de Melhoria.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Constatada a ocorrência do fato gerador, a alíquota incidente para fins de cobrança da contribuição de melhoria, para cada contribuinte, </w:t>
      </w:r>
      <w:r w:rsidR="003B0019" w:rsidRPr="001D3470">
        <w:rPr>
          <w:rFonts w:ascii="Arial" w:eastAsia="Times New Roman" w:hAnsi="Arial" w:cs="Arial"/>
          <w:sz w:val="21"/>
          <w:szCs w:val="21"/>
          <w:lang w:eastAsia="pt-BR"/>
        </w:rPr>
        <w:t>é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</w:t>
      </w:r>
      <w:r w:rsidR="003B0019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a valorização </w:t>
      </w:r>
      <w:r w:rsidR="008E5907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da zona beneficiada </w:t>
      </w:r>
      <w:r w:rsidR="003B0019" w:rsidRPr="001D3470">
        <w:rPr>
          <w:rFonts w:ascii="Arial" w:eastAsia="Times New Roman" w:hAnsi="Arial" w:cs="Arial"/>
          <w:sz w:val="21"/>
          <w:szCs w:val="21"/>
          <w:lang w:eastAsia="pt-BR"/>
        </w:rPr>
        <w:t>do imóvel com a obra</w:t>
      </w:r>
      <w:r w:rsidR="008E5907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, 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respeitando o limite da valorização de cada imóvel.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Correrão por conta do Município de </w:t>
      </w:r>
      <w:r w:rsidR="008E5907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Cruzeiro do Sul 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as cotas relativas aos imóveis pertencentes ao patrimônio do Município</w:t>
      </w:r>
      <w:r w:rsidR="008E5907" w:rsidRPr="001D3470">
        <w:rPr>
          <w:rFonts w:ascii="Arial" w:eastAsia="Times New Roman" w:hAnsi="Arial" w:cs="Arial"/>
          <w:sz w:val="21"/>
          <w:szCs w:val="21"/>
          <w:lang w:eastAsia="pt-BR"/>
        </w:rPr>
        <w:t>, do Estado e da União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ou isentos de Contribuição de Melhoria e as importâncias que se referirem à área de benefício comum.</w:t>
      </w:r>
    </w:p>
    <w:p w:rsidR="007C4AC6" w:rsidRPr="001D3470" w:rsidRDefault="007C4AC6" w:rsidP="001D347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DA IMPUGNAÇÃO AO EDITAL: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Integra o presente Edital o primeiro laudo de avaliação inicial dos imóveis, antes da realização da obra</w:t>
      </w:r>
      <w:r w:rsidR="008E5907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com </w:t>
      </w:r>
      <w:r w:rsidR="00863DDE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a </w:t>
      </w:r>
      <w:r w:rsidR="008E5907" w:rsidRPr="001D3470">
        <w:rPr>
          <w:rFonts w:ascii="Arial" w:eastAsia="Times New Roman" w:hAnsi="Arial" w:cs="Arial"/>
          <w:sz w:val="21"/>
          <w:szCs w:val="21"/>
          <w:lang w:eastAsia="pt-BR"/>
        </w:rPr>
        <w:t>respectiva</w:t>
      </w:r>
      <w:r w:rsidR="00863DDE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valorização estimada com a obra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.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Comprovado o legítimo interesse, poderão ser impugnados quaisquer elementos constantes do Edital e seus anexos (inclusive do laudo de avaliação), dentro do prazo de 30 (trinta) dias contados de sua publicação.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A impugnação deverá ser entregue no protocolo geral da Prefeitura Municipal e dirigida à Secret</w:t>
      </w:r>
      <w:r w:rsidR="00863DDE" w:rsidRPr="001D3470">
        <w:rPr>
          <w:rFonts w:ascii="Arial" w:eastAsia="Times New Roman" w:hAnsi="Arial" w:cs="Arial"/>
          <w:sz w:val="21"/>
          <w:szCs w:val="21"/>
          <w:lang w:eastAsia="pt-BR"/>
        </w:rPr>
        <w:t>aria Municipal de Administração ou Planejamento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, que servirá para início do processo administrativo, observando o disposto no Código Tributário, no qual o interessado poderá reclamar contra eventuais erros de localização, cálculos, custo da obra dentre outros elementos.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A impugnação não obstará o início ou o prosseguimento da obra ou a prática dos atos necessários à arrecadação do tributo, e sua decisão terá efeito somente para o impugnante.</w:t>
      </w:r>
    </w:p>
    <w:p w:rsidR="007C4AC6" w:rsidRPr="001D3470" w:rsidRDefault="007C4AC6" w:rsidP="001D347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DA IMPUGNAÇÃO AO LANÇAMENTO: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Após a elaboração do segundo laudo de avaliação, o lançamento do tributo e a notificação do contribuinte, este poderá, no prazo de 15 (quinze dias), contados do recebimento da notificação, apresentar impugnação que suspenderá os efeitos do lançamento em relação ao impugnante e a decisão sobre ela manterá ou anulará os valores lançados.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Mantido o valor do lançamento, o contribuinte responderá pelo pagamento do principal, acrescido de juros de mor</w:t>
      </w:r>
      <w:r w:rsidR="00454A83" w:rsidRPr="001D3470">
        <w:rPr>
          <w:rFonts w:ascii="Arial" w:eastAsia="Times New Roman" w:hAnsi="Arial" w:cs="Arial"/>
          <w:sz w:val="21"/>
          <w:szCs w:val="21"/>
          <w:lang w:eastAsia="pt-BR"/>
        </w:rPr>
        <w:t>a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e atualização monetária pelos índices oficiais, sem prejuízo de outras cominações cabíveis.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A anulação do primeiro lançamento não elide a efetivação de novo lançamento, em substituição ao anterior, com as correções impostas pela impugnação.</w:t>
      </w:r>
    </w:p>
    <w:p w:rsidR="007C4AC6" w:rsidRPr="001D3470" w:rsidRDefault="007C4AC6" w:rsidP="001D3470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DOS ANEXOS: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Integram o presente Edital, sendo parte integrante </w:t>
      </w:r>
      <w:proofErr w:type="spellStart"/>
      <w:r w:rsidR="00454A83" w:rsidRPr="001D3470">
        <w:rPr>
          <w:rFonts w:ascii="Arial" w:eastAsia="Times New Roman" w:hAnsi="Arial" w:cs="Arial"/>
          <w:sz w:val="21"/>
          <w:szCs w:val="21"/>
          <w:lang w:eastAsia="pt-BR"/>
        </w:rPr>
        <w:t>dete</w:t>
      </w:r>
      <w:proofErr w:type="spellEnd"/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para todos os fins, os seguintes anexos: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- 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Memorial descritivo da obra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- Orçamento de custo da obra: Cronograma Físico Financeiro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- Planta do trecho da rua onde será executado </w:t>
      </w:r>
      <w:r w:rsidR="00454A83" w:rsidRPr="001D3470">
        <w:rPr>
          <w:rFonts w:ascii="Arial" w:eastAsia="Times New Roman" w:hAnsi="Arial" w:cs="Arial"/>
          <w:sz w:val="21"/>
          <w:szCs w:val="21"/>
          <w:lang w:eastAsia="pt-BR"/>
        </w:rPr>
        <w:t>a obras de pavimentação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- Cálculo do BDI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lastRenderedPageBreak/>
        <w:t>- Laudo de avaliação inicial dos imóveis situados na zona beneficiada</w:t>
      </w:r>
      <w:r w:rsidR="005C430B">
        <w:rPr>
          <w:rFonts w:ascii="Arial" w:eastAsia="Times New Roman" w:hAnsi="Arial" w:cs="Arial"/>
          <w:sz w:val="21"/>
          <w:szCs w:val="21"/>
          <w:lang w:eastAsia="pt-BR"/>
        </w:rPr>
        <w:t>.</w:t>
      </w:r>
    </w:p>
    <w:p w:rsidR="007C4AC6" w:rsidRPr="001D3470" w:rsidRDefault="007C4AC6" w:rsidP="001D3470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a) Planilha dos Beneficiários (Avaliação antes da obra)</w:t>
      </w:r>
    </w:p>
    <w:p w:rsidR="007C4AC6" w:rsidRPr="001D3470" w:rsidRDefault="007C4AC6" w:rsidP="001D3470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DISPOSIÇÕES FINAIS:</w:t>
      </w:r>
    </w:p>
    <w:p w:rsidR="007C4AC6" w:rsidRPr="001D3470" w:rsidRDefault="007C4AC6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t>Demais informações poderão ser obtidas no Setor de Engenharia da Prefeitura Municipal.</w:t>
      </w:r>
    </w:p>
    <w:p w:rsidR="007C4AC6" w:rsidRPr="001D3470" w:rsidRDefault="007C4AC6" w:rsidP="005C430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sz w:val="21"/>
          <w:szCs w:val="21"/>
          <w:lang w:eastAsia="pt-BR"/>
        </w:rPr>
        <w:br/>
      </w:r>
      <w:r w:rsidR="00454A83" w:rsidRPr="001D3470">
        <w:rPr>
          <w:rFonts w:ascii="Arial" w:eastAsia="Times New Roman" w:hAnsi="Arial" w:cs="Arial"/>
          <w:sz w:val="21"/>
          <w:szCs w:val="21"/>
          <w:lang w:eastAsia="pt-BR"/>
        </w:rPr>
        <w:t>Cruzeiro do Sul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/RS, </w:t>
      </w:r>
      <w:r w:rsidR="00D74D32">
        <w:rPr>
          <w:rFonts w:ascii="Arial" w:eastAsia="Times New Roman" w:hAnsi="Arial" w:cs="Arial"/>
          <w:sz w:val="21"/>
          <w:szCs w:val="21"/>
          <w:lang w:eastAsia="pt-BR"/>
        </w:rPr>
        <w:t>26</w:t>
      </w:r>
      <w:r w:rsidR="00454A83" w:rsidRPr="001D3470">
        <w:rPr>
          <w:rFonts w:ascii="Arial" w:eastAsia="Times New Roman" w:hAnsi="Arial" w:cs="Arial"/>
          <w:sz w:val="21"/>
          <w:szCs w:val="21"/>
          <w:lang w:eastAsia="pt-BR"/>
        </w:rPr>
        <w:t xml:space="preserve"> de </w:t>
      </w:r>
      <w:r w:rsidR="00D74D32">
        <w:rPr>
          <w:rFonts w:ascii="Arial" w:eastAsia="Times New Roman" w:hAnsi="Arial" w:cs="Arial"/>
          <w:sz w:val="21"/>
          <w:szCs w:val="21"/>
          <w:lang w:eastAsia="pt-BR"/>
        </w:rPr>
        <w:t>dezembr</w:t>
      </w:r>
      <w:r w:rsidR="00454A83" w:rsidRPr="001D3470">
        <w:rPr>
          <w:rFonts w:ascii="Arial" w:eastAsia="Times New Roman" w:hAnsi="Arial" w:cs="Arial"/>
          <w:sz w:val="21"/>
          <w:szCs w:val="21"/>
          <w:lang w:eastAsia="pt-BR"/>
        </w:rPr>
        <w:t>o de 202</w:t>
      </w:r>
      <w:r w:rsidR="00D74D32">
        <w:rPr>
          <w:rFonts w:ascii="Arial" w:eastAsia="Times New Roman" w:hAnsi="Arial" w:cs="Arial"/>
          <w:sz w:val="21"/>
          <w:szCs w:val="21"/>
          <w:lang w:eastAsia="pt-BR"/>
        </w:rPr>
        <w:t>3</w:t>
      </w:r>
      <w:r w:rsidRPr="001D3470">
        <w:rPr>
          <w:rFonts w:ascii="Arial" w:eastAsia="Times New Roman" w:hAnsi="Arial" w:cs="Arial"/>
          <w:sz w:val="21"/>
          <w:szCs w:val="21"/>
          <w:lang w:eastAsia="pt-BR"/>
        </w:rPr>
        <w:t>.</w:t>
      </w:r>
    </w:p>
    <w:p w:rsidR="001D3470" w:rsidRPr="001D3470" w:rsidRDefault="001D3470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</w:p>
    <w:p w:rsidR="001D3470" w:rsidRPr="001D3470" w:rsidRDefault="001D3470" w:rsidP="001D347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</w:p>
    <w:p w:rsidR="007C4AC6" w:rsidRPr="001D3470" w:rsidRDefault="007C4AC6" w:rsidP="005C430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  <w:lang w:eastAsia="pt-BR"/>
        </w:rPr>
      </w:pPr>
    </w:p>
    <w:p w:rsidR="007C4AC6" w:rsidRPr="001D3470" w:rsidRDefault="001D3470" w:rsidP="005C430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JOÃO HENRIQUE DULLIUS</w:t>
      </w:r>
    </w:p>
    <w:p w:rsidR="007C4AC6" w:rsidRPr="001D3470" w:rsidRDefault="001D3470" w:rsidP="005C430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  <w:lang w:eastAsia="pt-BR"/>
        </w:rPr>
      </w:pPr>
      <w:r w:rsidRPr="001D3470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PREFEITO MUNICIPAL</w:t>
      </w:r>
    </w:p>
    <w:p w:rsidR="00E00870" w:rsidRDefault="00E00870"/>
    <w:sectPr w:rsidR="00E0087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C13B7"/>
    <w:multiLevelType w:val="multilevel"/>
    <w:tmpl w:val="0986D3C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E838F6"/>
    <w:multiLevelType w:val="multilevel"/>
    <w:tmpl w:val="C6B806E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4067ED"/>
    <w:multiLevelType w:val="multilevel"/>
    <w:tmpl w:val="64C42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B21AB6"/>
    <w:multiLevelType w:val="multilevel"/>
    <w:tmpl w:val="CCCC647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334077"/>
    <w:multiLevelType w:val="multilevel"/>
    <w:tmpl w:val="9FB0953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682605"/>
    <w:multiLevelType w:val="multilevel"/>
    <w:tmpl w:val="9AF637C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861DB1"/>
    <w:multiLevelType w:val="multilevel"/>
    <w:tmpl w:val="8B2C77C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B16724"/>
    <w:multiLevelType w:val="multilevel"/>
    <w:tmpl w:val="38AEF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60A630D"/>
    <w:multiLevelType w:val="multilevel"/>
    <w:tmpl w:val="5D60C42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0507A98"/>
    <w:multiLevelType w:val="multilevel"/>
    <w:tmpl w:val="EB084F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4F18C0"/>
    <w:multiLevelType w:val="multilevel"/>
    <w:tmpl w:val="59E6378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9"/>
  </w:num>
  <w:num w:numId="3">
    <w:abstractNumId w:val="0"/>
  </w:num>
  <w:num w:numId="4">
    <w:abstractNumId w:val="10"/>
  </w:num>
  <w:num w:numId="5">
    <w:abstractNumId w:val="1"/>
  </w:num>
  <w:num w:numId="6">
    <w:abstractNumId w:val="3"/>
  </w:num>
  <w:num w:numId="7">
    <w:abstractNumId w:val="6"/>
  </w:num>
  <w:num w:numId="8">
    <w:abstractNumId w:val="4"/>
  </w:num>
  <w:num w:numId="9">
    <w:abstractNumId w:val="8"/>
  </w:num>
  <w:num w:numId="10">
    <w:abstractNumId w:val="5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AC6"/>
    <w:rsid w:val="001D3470"/>
    <w:rsid w:val="003B0019"/>
    <w:rsid w:val="0043600E"/>
    <w:rsid w:val="00454A83"/>
    <w:rsid w:val="005B265C"/>
    <w:rsid w:val="005C430B"/>
    <w:rsid w:val="00684639"/>
    <w:rsid w:val="006C2BA4"/>
    <w:rsid w:val="007C4AC6"/>
    <w:rsid w:val="00863DDE"/>
    <w:rsid w:val="008C061C"/>
    <w:rsid w:val="008E5907"/>
    <w:rsid w:val="00BF13E7"/>
    <w:rsid w:val="00C05904"/>
    <w:rsid w:val="00D63A43"/>
    <w:rsid w:val="00D74D32"/>
    <w:rsid w:val="00E00870"/>
    <w:rsid w:val="00F72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7C4A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7C4AC6"/>
    <w:rPr>
      <w:b/>
      <w:bCs/>
    </w:rPr>
  </w:style>
  <w:style w:type="character" w:styleId="nfase">
    <w:name w:val="Emphasis"/>
    <w:basedOn w:val="Fontepargpadro"/>
    <w:uiPriority w:val="20"/>
    <w:qFormat/>
    <w:rsid w:val="007C4AC6"/>
    <w:rPr>
      <w:i/>
      <w:iCs/>
    </w:rPr>
  </w:style>
  <w:style w:type="character" w:customStyle="1" w:styleId="Ttulo2Char">
    <w:name w:val="Título 2 Char"/>
    <w:basedOn w:val="Fontepargpadro"/>
    <w:link w:val="Ttulo2"/>
    <w:uiPriority w:val="9"/>
    <w:rsid w:val="007C4AC6"/>
    <w:rPr>
      <w:rFonts w:ascii="Times New Roman" w:eastAsia="Times New Roman" w:hAnsi="Times New Roman" w:cs="Times New Roman"/>
      <w:b/>
      <w:bCs/>
      <w:sz w:val="36"/>
      <w:szCs w:val="3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7C4A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7C4AC6"/>
    <w:rPr>
      <w:b/>
      <w:bCs/>
    </w:rPr>
  </w:style>
  <w:style w:type="character" w:styleId="nfase">
    <w:name w:val="Emphasis"/>
    <w:basedOn w:val="Fontepargpadro"/>
    <w:uiPriority w:val="20"/>
    <w:qFormat/>
    <w:rsid w:val="007C4AC6"/>
    <w:rPr>
      <w:i/>
      <w:iCs/>
    </w:rPr>
  </w:style>
  <w:style w:type="character" w:customStyle="1" w:styleId="Ttulo2Char">
    <w:name w:val="Título 2 Char"/>
    <w:basedOn w:val="Fontepargpadro"/>
    <w:link w:val="Ttulo2"/>
    <w:uiPriority w:val="9"/>
    <w:rsid w:val="007C4AC6"/>
    <w:rPr>
      <w:rFonts w:ascii="Times New Roman" w:eastAsia="Times New Roman" w:hAnsi="Times New Roman" w:cs="Times New Roman"/>
      <w:b/>
      <w:bCs/>
      <w:sz w:val="36"/>
      <w:szCs w:val="3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987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AuxiEnge-PC</dc:creator>
  <cp:lastModifiedBy>AuxiEnge-PC</cp:lastModifiedBy>
  <cp:revision>3</cp:revision>
  <cp:lastPrinted>2022-05-06T14:19:00Z</cp:lastPrinted>
  <dcterms:created xsi:type="dcterms:W3CDTF">2023-12-26T11:07:00Z</dcterms:created>
  <dcterms:modified xsi:type="dcterms:W3CDTF">2023-12-26T12:20:00Z</dcterms:modified>
</cp:coreProperties>
</file>