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4E" w:rsidRDefault="00F7174E" w:rsidP="00F7174E">
      <w:pPr>
        <w:pStyle w:val="SemEspaamento"/>
        <w:jc w:val="center"/>
        <w:rPr>
          <w:rFonts w:ascii="Arial" w:hAnsi="Arial" w:cs="Arial"/>
          <w:lang w:eastAsia="pt-BR"/>
        </w:rPr>
      </w:pPr>
      <w:r>
        <w:rPr>
          <w:rFonts w:ascii="Arial" w:hAnsi="Arial" w:cs="Arial"/>
          <w:b/>
          <w:bCs/>
          <w:lang w:eastAsia="pt-BR"/>
        </w:rPr>
        <w:t>ATA DE REGISTRO DE PREÇOS Nº 063/2021</w:t>
      </w:r>
    </w:p>
    <w:p w:rsidR="00F7174E" w:rsidRDefault="00F7174E" w:rsidP="00F7174E">
      <w:pPr>
        <w:pStyle w:val="SemEspaamento"/>
        <w:jc w:val="center"/>
        <w:rPr>
          <w:rFonts w:ascii="Arial" w:hAnsi="Arial" w:cs="Arial"/>
          <w:lang w:eastAsia="pt-BR"/>
        </w:rPr>
      </w:pPr>
      <w:r>
        <w:rPr>
          <w:rFonts w:ascii="Arial" w:hAnsi="Arial" w:cs="Arial"/>
          <w:b/>
          <w:bCs/>
          <w:lang w:eastAsia="pt-BR"/>
        </w:rPr>
        <w:t>PREGÃO PRESENCIAL Nº 003-01/2021</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SCHUZA COMÉRCIO DE DESCARTÁVEIS, HIGIENE E LIMPEZA LTDA, </w:t>
      </w:r>
      <w:r>
        <w:rPr>
          <w:rFonts w:ascii="Arial" w:hAnsi="Arial" w:cs="Arial"/>
          <w:lang w:eastAsia="pt-BR"/>
        </w:rPr>
        <w:t xml:space="preserve">situada na Rua Leopoldo Schneider, nº 899, bairro Canabarro, na cidade de Teutônia/RS, CEP: 95.890-000, telefone (51) 3762-9483, e-mail: schuza.licitacoes@gmail.com, inscrita no CNPJ sob o número 09.644.894/0001-27, nesse ato representada por seu representante legal, Sr. </w:t>
      </w:r>
      <w:r>
        <w:rPr>
          <w:rFonts w:ascii="Arial" w:hAnsi="Arial" w:cs="Arial"/>
          <w:b/>
          <w:lang w:eastAsia="pt-BR"/>
        </w:rPr>
        <w:t>José Jair Borba de Souza</w:t>
      </w:r>
      <w:r>
        <w:rPr>
          <w:rFonts w:ascii="Arial" w:hAnsi="Arial" w:cs="Arial"/>
          <w:b/>
          <w:bCs/>
          <w:lang w:eastAsia="pt-BR"/>
        </w:rPr>
        <w:t xml:space="preserve">, </w:t>
      </w:r>
      <w:r>
        <w:rPr>
          <w:rFonts w:ascii="Arial" w:hAnsi="Arial" w:cs="Arial"/>
          <w:lang w:eastAsia="pt-BR"/>
        </w:rPr>
        <w:t xml:space="preserve">portador do CPF nº 497.792.140-20,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lang w:val="pt-PT"/>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jc w:val="center"/>
              <w:rPr>
                <w:rFonts w:ascii="Thorndale" w:eastAsia="HG Mincho Light J" w:hAnsi="Thorndale" w:cs="Thorndale"/>
                <w:b/>
                <w:color w:val="000000"/>
                <w:kern w:val="0"/>
                <w:sz w:val="16"/>
                <w:szCs w:val="16"/>
                <w:lang w:bidi="ar-SA"/>
              </w:rPr>
            </w:pPr>
            <w:r>
              <w:rPr>
                <w:rFonts w:ascii="Arial" w:eastAsia="HG Mincho Light J" w:hAnsi="Arial" w:cs="Arial"/>
                <w:b/>
                <w:color w:val="000000"/>
                <w:kern w:val="0"/>
                <w:sz w:val="16"/>
                <w:szCs w:val="16"/>
                <w:shd w:val="clear" w:color="auto" w:fill="FFFFFF"/>
                <w:lang w:bidi="ar-SA"/>
              </w:rPr>
              <w:t>R$ Total</w:t>
            </w:r>
          </w:p>
        </w:tc>
      </w:tr>
      <w:tr w:rsidR="00F7174E" w:rsidTr="00F7174E">
        <w:trPr>
          <w:trHeight w:val="300"/>
        </w:trPr>
        <w:tc>
          <w:tcPr>
            <w:tcW w:w="851"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09</w:t>
            </w:r>
          </w:p>
        </w:tc>
        <w:tc>
          <w:tcPr>
            <w:tcW w:w="3260"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ESPONJA - de lã de aço</w:t>
            </w:r>
          </w:p>
        </w:tc>
        <w:tc>
          <w:tcPr>
            <w:tcW w:w="1134"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w:t>
            </w:r>
          </w:p>
        </w:tc>
        <w:tc>
          <w:tcPr>
            <w:tcW w:w="1394"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GOTA LIMPA</w:t>
            </w:r>
          </w:p>
        </w:tc>
        <w:tc>
          <w:tcPr>
            <w:tcW w:w="1158" w:type="dxa"/>
            <w:tcBorders>
              <w:top w:val="nil"/>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3,10</w:t>
            </w:r>
          </w:p>
        </w:tc>
        <w:tc>
          <w:tcPr>
            <w:tcW w:w="1276" w:type="dxa"/>
            <w:tcBorders>
              <w:top w:val="nil"/>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465,00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13</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LUVA DE LÁTEX - forrada c/ flocos de algodão antiderrapante - </w:t>
            </w:r>
            <w:proofErr w:type="spellStart"/>
            <w:proofErr w:type="gramStart"/>
            <w:r>
              <w:rPr>
                <w:rFonts w:ascii="Arial" w:eastAsia="Calibri" w:hAnsi="Arial" w:cs="Arial"/>
                <w:sz w:val="16"/>
                <w:szCs w:val="16"/>
                <w:lang w:eastAsia="pt-BR"/>
              </w:rPr>
              <w:t>tam</w:t>
            </w:r>
            <w:proofErr w:type="spellEnd"/>
            <w:proofErr w:type="gramEnd"/>
            <w:r>
              <w:rPr>
                <w:rFonts w:ascii="Arial" w:eastAsia="Calibri" w:hAnsi="Arial" w:cs="Arial"/>
                <w:sz w:val="16"/>
                <w:szCs w:val="16"/>
                <w:lang w:eastAsia="pt-BR"/>
              </w:rPr>
              <w:t xml:space="preserve"> P, M, G</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PAR</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MB LIFE</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6,90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2.760,00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15</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LUVA PARA PROCEDIMENTO - não cirúrgico, de látex borracha natural, superfície lisa, ambidestra, não estéril, com pó </w:t>
            </w:r>
            <w:proofErr w:type="spellStart"/>
            <w:r>
              <w:rPr>
                <w:rFonts w:ascii="Arial" w:eastAsia="Calibri" w:hAnsi="Arial" w:cs="Arial"/>
                <w:sz w:val="16"/>
                <w:szCs w:val="16"/>
                <w:lang w:eastAsia="pt-BR"/>
              </w:rPr>
              <w:t>bioabsorvil</w:t>
            </w:r>
            <w:proofErr w:type="spellEnd"/>
            <w:r>
              <w:rPr>
                <w:rFonts w:ascii="Arial" w:eastAsia="Calibri" w:hAnsi="Arial" w:cs="Arial"/>
                <w:sz w:val="16"/>
                <w:szCs w:val="16"/>
                <w:lang w:eastAsia="pt-BR"/>
              </w:rPr>
              <w:t xml:space="preserve">- </w:t>
            </w:r>
            <w:proofErr w:type="spellStart"/>
            <w:r>
              <w:rPr>
                <w:rFonts w:ascii="Arial" w:eastAsia="Calibri" w:hAnsi="Arial" w:cs="Arial"/>
                <w:sz w:val="16"/>
                <w:szCs w:val="16"/>
                <w:lang w:eastAsia="pt-BR"/>
              </w:rPr>
              <w:t>cx</w:t>
            </w:r>
            <w:proofErr w:type="spellEnd"/>
            <w:r>
              <w:rPr>
                <w:rFonts w:ascii="Arial" w:eastAsia="Calibri" w:hAnsi="Arial" w:cs="Arial"/>
                <w:sz w:val="16"/>
                <w:szCs w:val="16"/>
                <w:lang w:eastAsia="pt-BR"/>
              </w:rPr>
              <w:t xml:space="preserve"> com 100 unidades, tamanho </w:t>
            </w:r>
            <w:proofErr w:type="gramStart"/>
            <w:r>
              <w:rPr>
                <w:rFonts w:ascii="Arial" w:eastAsia="Calibri" w:hAnsi="Arial" w:cs="Arial"/>
                <w:sz w:val="16"/>
                <w:szCs w:val="16"/>
                <w:lang w:eastAsia="pt-BR"/>
              </w:rPr>
              <w:t>médio</w:t>
            </w:r>
            <w:proofErr w:type="gramEnd"/>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CX</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MB LIFE</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86,50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34.600,00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16</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PANO DE CHÃO – saco alvejado, tamanho G, para limpeza geral, na cor branca, 100% algodão, medidas mínimas </w:t>
            </w:r>
            <w:proofErr w:type="gramStart"/>
            <w:r>
              <w:rPr>
                <w:rFonts w:ascii="Arial" w:eastAsia="Calibri" w:hAnsi="Arial" w:cs="Arial"/>
                <w:sz w:val="16"/>
                <w:szCs w:val="16"/>
                <w:lang w:eastAsia="pt-BR"/>
              </w:rPr>
              <w:t>58x78cm</w:t>
            </w:r>
            <w:proofErr w:type="gramEnd"/>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MARTINS</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6,75</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3.375,00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17</w:t>
            </w:r>
          </w:p>
        </w:tc>
        <w:tc>
          <w:tcPr>
            <w:tcW w:w="3260" w:type="dxa"/>
            <w:tcBorders>
              <w:top w:val="single" w:sz="4" w:space="0" w:color="000000"/>
              <w:left w:val="single" w:sz="4" w:space="0" w:color="000000"/>
              <w:bottom w:val="single" w:sz="4" w:space="0" w:color="000000"/>
              <w:right w:val="nil"/>
            </w:tcBorders>
            <w:hideMark/>
          </w:tcPr>
          <w:p w:rsidR="00F7174E" w:rsidRDefault="00F7174E">
            <w:pPr>
              <w:pStyle w:val="Standard"/>
              <w:spacing w:line="276" w:lineRule="auto"/>
              <w:jc w:val="both"/>
              <w:rPr>
                <w:rFonts w:ascii="Arial" w:hAnsi="Arial" w:cs="Arial"/>
                <w:sz w:val="16"/>
                <w:szCs w:val="16"/>
                <w:lang w:eastAsia="pt-BR"/>
              </w:rPr>
            </w:pPr>
            <w:r>
              <w:rPr>
                <w:rFonts w:ascii="Arial" w:hAnsi="Arial" w:cs="Arial"/>
                <w:color w:val="000000"/>
                <w:sz w:val="16"/>
                <w:szCs w:val="16"/>
              </w:rPr>
              <w:t>PAPEL HIGIÊNICO NEUTRO -</w:t>
            </w:r>
            <w:proofErr w:type="gramStart"/>
            <w:r>
              <w:rPr>
                <w:rFonts w:ascii="Arial" w:hAnsi="Arial" w:cs="Arial"/>
                <w:color w:val="000000"/>
                <w:sz w:val="16"/>
                <w:szCs w:val="16"/>
              </w:rPr>
              <w:t xml:space="preserve">  </w:t>
            </w:r>
            <w:proofErr w:type="gramEnd"/>
            <w:r>
              <w:rPr>
                <w:rFonts w:ascii="Arial" w:hAnsi="Arial" w:cs="Arial"/>
                <w:color w:val="000000"/>
                <w:sz w:val="16"/>
                <w:szCs w:val="16"/>
              </w:rPr>
              <w:t>folha simples, rolo com 30 cm, alta qualidade, sem pigmentação oriunda da utilização de aparas de material impresso, distribuição homogênea das fibras ao longo do papel, gofrado, picotado, macio com alto poder de absorção, fardos com 64 rolos.</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DCLASSE</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46,24</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11.560,00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19</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Calibri" w:hAnsi="Arial" w:cs="Arial"/>
                <w:sz w:val="16"/>
                <w:szCs w:val="16"/>
                <w:lang w:eastAsia="pt-BR"/>
              </w:rPr>
            </w:pPr>
            <w:r>
              <w:rPr>
                <w:rFonts w:ascii="Arial" w:hAnsi="Arial" w:cs="Arial"/>
                <w:color w:val="000000"/>
                <w:sz w:val="16"/>
                <w:szCs w:val="16"/>
                <w:lang w:eastAsia="pt-BR"/>
              </w:rPr>
              <w:t xml:space="preserve">RODO GRANDE – com cabo em madeira plastificado, resistente, com rosca, de no mínimo 1,4 </w:t>
            </w:r>
            <w:proofErr w:type="spellStart"/>
            <w:proofErr w:type="gramStart"/>
            <w:r>
              <w:rPr>
                <w:rFonts w:ascii="Arial" w:hAnsi="Arial" w:cs="Arial"/>
                <w:color w:val="000000"/>
                <w:sz w:val="16"/>
                <w:szCs w:val="16"/>
                <w:lang w:eastAsia="pt-BR"/>
              </w:rPr>
              <w:t>mt</w:t>
            </w:r>
            <w:proofErr w:type="spellEnd"/>
            <w:proofErr w:type="gramEnd"/>
            <w:r>
              <w:rPr>
                <w:rFonts w:ascii="Arial" w:hAnsi="Arial" w:cs="Arial"/>
                <w:color w:val="000000"/>
                <w:sz w:val="16"/>
                <w:szCs w:val="16"/>
                <w:lang w:eastAsia="pt-BR"/>
              </w:rPr>
              <w:t>,  suporte plástico medindo no mínimo 40 cm, com borracha de alta qualidade, ótima aderência e fixação das partes.</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BORBOLETA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10,90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2.180,00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20</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SABÃO - em barra 400gr</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CAMPEÃO</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4,10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410,00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23</w:t>
            </w:r>
          </w:p>
        </w:tc>
        <w:tc>
          <w:tcPr>
            <w:tcW w:w="3260" w:type="dxa"/>
            <w:tcBorders>
              <w:top w:val="single" w:sz="4" w:space="0" w:color="000000"/>
              <w:left w:val="single" w:sz="4" w:space="0" w:color="000000"/>
              <w:bottom w:val="single" w:sz="4" w:space="0" w:color="000000"/>
              <w:right w:val="nil"/>
            </w:tcBorders>
            <w:hideMark/>
          </w:tcPr>
          <w:p w:rsidR="00F7174E" w:rsidRDefault="00F7174E">
            <w:pPr>
              <w:pStyle w:val="Standard"/>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SACOS DE LIXO - resistência </w:t>
            </w:r>
            <w:proofErr w:type="gramStart"/>
            <w:r>
              <w:rPr>
                <w:rFonts w:ascii="Arial" w:eastAsia="Calibri" w:hAnsi="Arial" w:cs="Arial"/>
                <w:sz w:val="16"/>
                <w:szCs w:val="16"/>
                <w:lang w:eastAsia="pt-BR"/>
              </w:rPr>
              <w:t>8</w:t>
            </w:r>
            <w:proofErr w:type="gramEnd"/>
            <w:r>
              <w:rPr>
                <w:rFonts w:ascii="Arial" w:eastAsia="Calibri" w:hAnsi="Arial" w:cs="Arial"/>
                <w:sz w:val="16"/>
                <w:szCs w:val="16"/>
                <w:lang w:eastAsia="pt-BR"/>
              </w:rPr>
              <w:t xml:space="preserve"> micras, </w:t>
            </w:r>
            <w:r>
              <w:rPr>
                <w:rFonts w:ascii="Arial" w:eastAsia="Calibri" w:hAnsi="Arial" w:cs="Arial"/>
                <w:b/>
                <w:sz w:val="16"/>
                <w:szCs w:val="16"/>
                <w:lang w:eastAsia="pt-BR"/>
              </w:rPr>
              <w:t>100 litros</w:t>
            </w:r>
            <w:r>
              <w:rPr>
                <w:rFonts w:ascii="Arial" w:eastAsia="Calibri" w:hAnsi="Arial" w:cs="Arial"/>
                <w:sz w:val="16"/>
                <w:szCs w:val="16"/>
                <w:lang w:eastAsia="pt-BR"/>
              </w:rPr>
              <w:t xml:space="preserve">, na cor preta, nas medidas 95x105, com 10 micras de espessura, reforçado, produto produzido conforme normas da ABNT-NBR 9191;2002 do INMETRO, validade mínima de 12 meses. </w:t>
            </w:r>
            <w:proofErr w:type="spellStart"/>
            <w:r>
              <w:rPr>
                <w:rFonts w:ascii="Arial" w:eastAsia="Calibri" w:hAnsi="Arial" w:cs="Arial"/>
                <w:sz w:val="16"/>
                <w:szCs w:val="16"/>
                <w:lang w:eastAsia="pt-BR"/>
              </w:rPr>
              <w:t>Pct</w:t>
            </w:r>
            <w:proofErr w:type="spellEnd"/>
            <w:r>
              <w:rPr>
                <w:rFonts w:ascii="Arial" w:eastAsia="Calibri" w:hAnsi="Arial" w:cs="Arial"/>
                <w:sz w:val="16"/>
                <w:szCs w:val="16"/>
                <w:lang w:eastAsia="pt-BR"/>
              </w:rPr>
              <w:t xml:space="preserve"> com 100 un.</w:t>
            </w:r>
          </w:p>
          <w:p w:rsidR="00F7174E" w:rsidRDefault="00F7174E">
            <w:pPr>
              <w:widowControl w:val="0"/>
              <w:snapToGrid w:val="0"/>
              <w:spacing w:line="276" w:lineRule="auto"/>
              <w:jc w:val="both"/>
              <w:rPr>
                <w:rFonts w:ascii="Arial" w:eastAsia="Calibri" w:hAnsi="Arial" w:cs="Arial"/>
                <w:sz w:val="16"/>
                <w:szCs w:val="16"/>
                <w:lang w:eastAsia="pt-BR"/>
              </w:rPr>
            </w:pPr>
            <w:r>
              <w:rPr>
                <w:rFonts w:ascii="Arial" w:eastAsia="Calibri" w:hAnsi="Arial" w:cs="Arial"/>
                <w:b/>
                <w:sz w:val="16"/>
                <w:szCs w:val="16"/>
                <w:lang w:eastAsia="pt-BR"/>
              </w:rPr>
              <w:t>APRESENTAR LAUDO DE QUALIDADE JUNTO COM A PROPOSTA.</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SCHUZA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49,50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19.800,00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24</w:t>
            </w:r>
          </w:p>
        </w:tc>
        <w:tc>
          <w:tcPr>
            <w:tcW w:w="3260" w:type="dxa"/>
            <w:tcBorders>
              <w:top w:val="single" w:sz="4" w:space="0" w:color="000000"/>
              <w:left w:val="single" w:sz="4" w:space="0" w:color="000000"/>
              <w:bottom w:val="single" w:sz="4" w:space="0" w:color="000000"/>
              <w:right w:val="nil"/>
            </w:tcBorders>
            <w:hideMark/>
          </w:tcPr>
          <w:p w:rsidR="00F7174E" w:rsidRDefault="00F7174E">
            <w:pPr>
              <w:pStyle w:val="Standard"/>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SACOS DE LIXO - resistência </w:t>
            </w:r>
            <w:proofErr w:type="gramStart"/>
            <w:r>
              <w:rPr>
                <w:rFonts w:ascii="Arial" w:eastAsia="Calibri" w:hAnsi="Arial" w:cs="Arial"/>
                <w:sz w:val="16"/>
                <w:szCs w:val="16"/>
                <w:lang w:eastAsia="pt-BR"/>
              </w:rPr>
              <w:t>8</w:t>
            </w:r>
            <w:proofErr w:type="gramEnd"/>
            <w:r>
              <w:rPr>
                <w:rFonts w:ascii="Arial" w:eastAsia="Calibri" w:hAnsi="Arial" w:cs="Arial"/>
                <w:sz w:val="16"/>
                <w:szCs w:val="16"/>
                <w:lang w:eastAsia="pt-BR"/>
              </w:rPr>
              <w:t xml:space="preserve"> micras, </w:t>
            </w:r>
            <w:r>
              <w:rPr>
                <w:rFonts w:ascii="Arial" w:eastAsia="Calibri" w:hAnsi="Arial" w:cs="Arial"/>
                <w:b/>
                <w:sz w:val="16"/>
                <w:szCs w:val="16"/>
                <w:lang w:eastAsia="pt-BR"/>
              </w:rPr>
              <w:t>50 litros</w:t>
            </w:r>
            <w:r>
              <w:rPr>
                <w:rFonts w:ascii="Arial" w:eastAsia="Calibri" w:hAnsi="Arial" w:cs="Arial"/>
                <w:sz w:val="16"/>
                <w:szCs w:val="16"/>
                <w:lang w:eastAsia="pt-BR"/>
              </w:rPr>
              <w:t xml:space="preserve">, na cor preta, nas medidas 95x105, </w:t>
            </w:r>
            <w:r>
              <w:rPr>
                <w:rFonts w:ascii="Arial" w:eastAsia="Calibri" w:hAnsi="Arial" w:cs="Arial"/>
                <w:sz w:val="16"/>
                <w:szCs w:val="16"/>
                <w:lang w:eastAsia="pt-BR"/>
              </w:rPr>
              <w:lastRenderedPageBreak/>
              <w:t xml:space="preserve">com 10 micras de espessura, reforçado, produto produzido conforme normas da ABNT-NBR 9191;2002 do INMETRO, validade mínima de 12 meses. </w:t>
            </w:r>
            <w:proofErr w:type="spellStart"/>
            <w:r>
              <w:rPr>
                <w:rFonts w:ascii="Arial" w:eastAsia="Calibri" w:hAnsi="Arial" w:cs="Arial"/>
                <w:sz w:val="16"/>
                <w:szCs w:val="16"/>
                <w:lang w:eastAsia="pt-BR"/>
              </w:rPr>
              <w:t>Pct</w:t>
            </w:r>
            <w:proofErr w:type="spellEnd"/>
            <w:r>
              <w:rPr>
                <w:rFonts w:ascii="Arial" w:eastAsia="Calibri" w:hAnsi="Arial" w:cs="Arial"/>
                <w:sz w:val="16"/>
                <w:szCs w:val="16"/>
                <w:lang w:eastAsia="pt-BR"/>
              </w:rPr>
              <w:t xml:space="preserve"> com 100 un.</w:t>
            </w:r>
          </w:p>
          <w:p w:rsidR="00F7174E" w:rsidRDefault="00F7174E">
            <w:pPr>
              <w:widowControl w:val="0"/>
              <w:snapToGrid w:val="0"/>
              <w:spacing w:line="276" w:lineRule="auto"/>
              <w:jc w:val="both"/>
              <w:rPr>
                <w:rFonts w:ascii="Arial" w:eastAsia="Calibri" w:hAnsi="Arial" w:cs="Arial"/>
                <w:sz w:val="16"/>
                <w:szCs w:val="16"/>
                <w:lang w:eastAsia="pt-BR"/>
              </w:rPr>
            </w:pPr>
            <w:r>
              <w:rPr>
                <w:rFonts w:ascii="Arial" w:eastAsia="Calibri" w:hAnsi="Arial" w:cs="Arial"/>
                <w:b/>
                <w:sz w:val="16"/>
                <w:szCs w:val="16"/>
                <w:lang w:eastAsia="pt-BR"/>
              </w:rPr>
              <w:t>APRESENTAR LAUDO DE QUALIDADE JUNTO COM A PROPOSTA.</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lastRenderedPageBreak/>
              <w:t>PCT</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SCHUZA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45,00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18.000,00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lastRenderedPageBreak/>
              <w:t>25</w:t>
            </w:r>
          </w:p>
        </w:tc>
        <w:tc>
          <w:tcPr>
            <w:tcW w:w="3260" w:type="dxa"/>
            <w:tcBorders>
              <w:top w:val="single" w:sz="4" w:space="0" w:color="000000"/>
              <w:left w:val="single" w:sz="4" w:space="0" w:color="000000"/>
              <w:bottom w:val="single" w:sz="4" w:space="0" w:color="000000"/>
              <w:right w:val="nil"/>
            </w:tcBorders>
            <w:hideMark/>
          </w:tcPr>
          <w:p w:rsidR="00F7174E" w:rsidRDefault="00F7174E">
            <w:pPr>
              <w:pStyle w:val="Standard"/>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SACOS DE LIXO - resistência </w:t>
            </w:r>
            <w:proofErr w:type="gramStart"/>
            <w:r>
              <w:rPr>
                <w:rFonts w:ascii="Arial" w:eastAsia="Calibri" w:hAnsi="Arial" w:cs="Arial"/>
                <w:sz w:val="16"/>
                <w:szCs w:val="16"/>
                <w:lang w:eastAsia="pt-BR"/>
              </w:rPr>
              <w:t>8</w:t>
            </w:r>
            <w:proofErr w:type="gramEnd"/>
            <w:r>
              <w:rPr>
                <w:rFonts w:ascii="Arial" w:eastAsia="Calibri" w:hAnsi="Arial" w:cs="Arial"/>
                <w:sz w:val="16"/>
                <w:szCs w:val="16"/>
                <w:lang w:eastAsia="pt-BR"/>
              </w:rPr>
              <w:t xml:space="preserve"> micras, </w:t>
            </w:r>
            <w:r>
              <w:rPr>
                <w:rFonts w:ascii="Arial" w:eastAsia="Calibri" w:hAnsi="Arial" w:cs="Arial"/>
                <w:b/>
                <w:sz w:val="16"/>
                <w:szCs w:val="16"/>
                <w:lang w:eastAsia="pt-BR"/>
              </w:rPr>
              <w:t>30 litros</w:t>
            </w:r>
            <w:r>
              <w:rPr>
                <w:rFonts w:ascii="Arial" w:eastAsia="Calibri" w:hAnsi="Arial" w:cs="Arial"/>
                <w:sz w:val="16"/>
                <w:szCs w:val="16"/>
                <w:lang w:eastAsia="pt-BR"/>
              </w:rPr>
              <w:t xml:space="preserve">, na cor preta, nas medidas 95x105, com 10 micras de espessura, reforçado, produto produzido conforme normas da ABNT-NBR 9191;2002 do INMETRO, validade mínima de 12 meses. </w:t>
            </w:r>
            <w:proofErr w:type="spellStart"/>
            <w:r>
              <w:rPr>
                <w:rFonts w:ascii="Arial" w:eastAsia="Calibri" w:hAnsi="Arial" w:cs="Arial"/>
                <w:sz w:val="16"/>
                <w:szCs w:val="16"/>
                <w:lang w:eastAsia="pt-BR"/>
              </w:rPr>
              <w:t>Pct</w:t>
            </w:r>
            <w:proofErr w:type="spellEnd"/>
            <w:r>
              <w:rPr>
                <w:rFonts w:ascii="Arial" w:eastAsia="Calibri" w:hAnsi="Arial" w:cs="Arial"/>
                <w:sz w:val="16"/>
                <w:szCs w:val="16"/>
                <w:lang w:eastAsia="pt-BR"/>
              </w:rPr>
              <w:t xml:space="preserve"> com 100 un.</w:t>
            </w:r>
          </w:p>
          <w:p w:rsidR="00F7174E" w:rsidRDefault="00F7174E">
            <w:pPr>
              <w:widowControl w:val="0"/>
              <w:snapToGrid w:val="0"/>
              <w:spacing w:line="276" w:lineRule="auto"/>
              <w:jc w:val="both"/>
              <w:rPr>
                <w:rFonts w:ascii="Arial" w:eastAsia="Calibri" w:hAnsi="Arial" w:cs="Arial"/>
                <w:sz w:val="16"/>
                <w:szCs w:val="16"/>
                <w:lang w:eastAsia="pt-BR"/>
              </w:rPr>
            </w:pPr>
            <w:r>
              <w:rPr>
                <w:rFonts w:ascii="Arial" w:eastAsia="Calibri" w:hAnsi="Arial" w:cs="Arial"/>
                <w:b/>
                <w:sz w:val="16"/>
                <w:szCs w:val="16"/>
                <w:lang w:eastAsia="pt-BR"/>
              </w:rPr>
              <w:t>APRESENTAR LAUDO DE QUALIDADE JUNTO COM A PROPOSTA.</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SCHUZA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16.000,00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27</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Calibri" w:hAnsi="Arial" w:cs="Arial"/>
                <w:sz w:val="16"/>
                <w:szCs w:val="16"/>
                <w:lang w:eastAsia="pt-BR"/>
              </w:rPr>
            </w:pPr>
            <w:r>
              <w:rPr>
                <w:rFonts w:ascii="Arial" w:hAnsi="Arial" w:cs="Arial"/>
                <w:color w:val="000000"/>
                <w:sz w:val="16"/>
                <w:szCs w:val="16"/>
              </w:rPr>
              <w:t>SAQUINHOS PLÁSTICOS – capacidade de 5 kg p/guarda freezer com 100 unidades</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STAR</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9,20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2.760,00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29</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 xml:space="preserve">TOUCA DESCARTÁVEL – branca, pacote com 100 </w:t>
            </w:r>
            <w:proofErr w:type="gramStart"/>
            <w:r>
              <w:rPr>
                <w:rFonts w:ascii="Arial" w:hAnsi="Arial" w:cs="Arial"/>
                <w:sz w:val="16"/>
                <w:szCs w:val="16"/>
                <w:lang w:eastAsia="pt-BR"/>
              </w:rPr>
              <w:t>unidades</w:t>
            </w:r>
            <w:proofErr w:type="gramEnd"/>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VABENE</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18,85</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3.770,00</w:t>
            </w:r>
          </w:p>
        </w:tc>
      </w:tr>
      <w:tr w:rsidR="00F7174E" w:rsidTr="00F7174E">
        <w:trPr>
          <w:trHeight w:val="300"/>
        </w:trPr>
        <w:tc>
          <w:tcPr>
            <w:tcW w:w="851"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30</w:t>
            </w:r>
          </w:p>
        </w:tc>
        <w:tc>
          <w:tcPr>
            <w:tcW w:w="3260"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VASSOURA DE NYLON – robusta, com cabo, na medida mínima 1,40 </w:t>
            </w:r>
            <w:proofErr w:type="spellStart"/>
            <w:proofErr w:type="gramStart"/>
            <w:r>
              <w:rPr>
                <w:rFonts w:ascii="Arial" w:eastAsia="Calibri" w:hAnsi="Arial" w:cs="Arial"/>
                <w:sz w:val="16"/>
                <w:szCs w:val="16"/>
                <w:lang w:eastAsia="pt-BR"/>
              </w:rPr>
              <w:t>mt</w:t>
            </w:r>
            <w:proofErr w:type="spellEnd"/>
            <w:proofErr w:type="gramEnd"/>
            <w:r>
              <w:rPr>
                <w:rFonts w:ascii="Arial" w:eastAsia="Calibri" w:hAnsi="Arial" w:cs="Arial"/>
                <w:sz w:val="16"/>
                <w:szCs w:val="16"/>
                <w:lang w:eastAsia="pt-BR"/>
              </w:rPr>
              <w:t>, resistente, largura da parte com cerdas sintéticas de pet de 0,60mm plugadas, com no mínimo 88 grupos de  25 cerdas, nas dimensões de 26x5x10,5c,cm.</w:t>
            </w:r>
          </w:p>
        </w:tc>
        <w:tc>
          <w:tcPr>
            <w:tcW w:w="113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450</w:t>
            </w:r>
          </w:p>
        </w:tc>
        <w:tc>
          <w:tcPr>
            <w:tcW w:w="1394"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DONNA</w:t>
            </w:r>
          </w:p>
        </w:tc>
        <w:tc>
          <w:tcPr>
            <w:tcW w:w="1158" w:type="dxa"/>
            <w:tcBorders>
              <w:top w:val="single" w:sz="4" w:space="0" w:color="000000"/>
              <w:left w:val="single" w:sz="4" w:space="0" w:color="000000"/>
              <w:bottom w:val="single" w:sz="4" w:space="0" w:color="000000"/>
              <w:right w:val="nil"/>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10,30</w:t>
            </w:r>
          </w:p>
        </w:tc>
        <w:tc>
          <w:tcPr>
            <w:tcW w:w="1276" w:type="dxa"/>
            <w:tcBorders>
              <w:top w:val="single" w:sz="4" w:space="0" w:color="000000"/>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4.635,00</w:t>
            </w:r>
          </w:p>
        </w:tc>
      </w:tr>
      <w:tr w:rsidR="00F7174E" w:rsidTr="00F7174E">
        <w:trPr>
          <w:trHeight w:val="300"/>
        </w:trPr>
        <w:tc>
          <w:tcPr>
            <w:tcW w:w="8789" w:type="dxa"/>
            <w:gridSpan w:val="6"/>
            <w:tcBorders>
              <w:top w:val="nil"/>
              <w:left w:val="single" w:sz="4" w:space="0" w:color="000000"/>
              <w:bottom w:val="single" w:sz="4" w:space="0" w:color="000000"/>
              <w:right w:val="nil"/>
            </w:tcBorders>
            <w:hideMark/>
          </w:tcPr>
          <w:p w:rsidR="00F7174E" w:rsidRDefault="00F7174E">
            <w:pPr>
              <w:widowControl w:val="0"/>
              <w:snapToGrid w:val="0"/>
              <w:spacing w:line="276" w:lineRule="auto"/>
              <w:jc w:val="right"/>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hideMark/>
          </w:tcPr>
          <w:p w:rsidR="00F7174E" w:rsidRDefault="00F7174E">
            <w:pPr>
              <w:widowControl w:val="0"/>
              <w:snapToGrid w:val="0"/>
              <w:spacing w:line="276" w:lineRule="auto"/>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120.315,00</w:t>
            </w:r>
          </w:p>
        </w:tc>
      </w:tr>
    </w:tbl>
    <w:p w:rsidR="00F7174E" w:rsidRDefault="00F7174E" w:rsidP="00F7174E">
      <w:pPr>
        <w:pStyle w:val="SemEspaamento"/>
        <w:jc w:val="both"/>
        <w:rPr>
          <w:rFonts w:ascii="Arial" w:hAnsi="Arial" w:cs="Arial"/>
          <w:lang w:eastAsia="pt-BR"/>
        </w:rPr>
      </w:pPr>
      <w:r>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F7174E" w:rsidRDefault="00F7174E" w:rsidP="00F7174E">
      <w:pPr>
        <w:pStyle w:val="SemEspaamento"/>
        <w:jc w:val="both"/>
        <w:rPr>
          <w:rFonts w:ascii="Arial" w:hAnsi="Arial" w:cs="Arial"/>
          <w:lang w:eastAsia="pt-BR"/>
        </w:rPr>
      </w:pPr>
      <w:r>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F7174E" w:rsidRDefault="00F7174E" w:rsidP="00F7174E">
      <w:pPr>
        <w:pStyle w:val="SemEspaamento"/>
        <w:jc w:val="both"/>
        <w:rPr>
          <w:rFonts w:ascii="Arial" w:hAnsi="Arial" w:cs="Arial"/>
          <w:lang w:eastAsia="pt-BR"/>
        </w:rPr>
      </w:pPr>
      <w:r>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F7174E" w:rsidRDefault="00F7174E" w:rsidP="00F7174E">
      <w:pPr>
        <w:pStyle w:val="SemEspaamento"/>
        <w:jc w:val="both"/>
        <w:rPr>
          <w:rFonts w:ascii="Arial" w:hAnsi="Arial" w:cs="Arial"/>
          <w:lang w:eastAsia="pt-BR"/>
        </w:rPr>
      </w:pPr>
      <w:r>
        <w:rPr>
          <w:rFonts w:ascii="Arial" w:hAnsi="Arial" w:cs="Arial"/>
          <w:b/>
          <w:lang w:val="pt-PT" w:eastAsia="pt-BR"/>
        </w:rPr>
        <w:t>Parágrafo Quarto</w:t>
      </w:r>
      <w:r>
        <w:rPr>
          <w:rFonts w:ascii="Arial" w:hAnsi="Arial" w:cs="Arial"/>
          <w:lang w:eastAsia="pt-BR"/>
        </w:rPr>
        <w:t xml:space="preserve"> – Os produtos serão deverão ser entregues nos seguintes locais:</w:t>
      </w:r>
    </w:p>
    <w:p w:rsidR="00F7174E" w:rsidRDefault="00F7174E" w:rsidP="00F7174E">
      <w:pPr>
        <w:pStyle w:val="SemEspaamento"/>
        <w:jc w:val="both"/>
        <w:rPr>
          <w:rFonts w:ascii="Arial" w:hAnsi="Arial" w:cs="Arial"/>
          <w:lang w:eastAsia="pt-BR"/>
        </w:rPr>
      </w:pP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F7174E" w:rsidTr="00F7174E">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F7174E" w:rsidTr="00F7174E">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F7174E" w:rsidRDefault="00F7174E">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F7174E" w:rsidRDefault="00F7174E" w:rsidP="00F7174E">
      <w:pPr>
        <w:pStyle w:val="SemEspaamento"/>
        <w:jc w:val="both"/>
        <w:rPr>
          <w:rFonts w:ascii="Arial" w:hAnsi="Arial" w:cs="Arial"/>
          <w:lang w:eastAsia="pt-BR"/>
        </w:rPr>
      </w:pPr>
      <w:r>
        <w:rPr>
          <w:rFonts w:ascii="Arial" w:hAnsi="Arial" w:cs="Arial"/>
          <w:b/>
          <w:color w:val="000000"/>
          <w:lang w:val="pt-PT" w:eastAsia="pt-BR"/>
        </w:rPr>
        <w:lastRenderedPageBreak/>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F7174E" w:rsidRDefault="00F7174E" w:rsidP="00F7174E">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F7174E" w:rsidRDefault="00F7174E" w:rsidP="00F7174E">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F7174E" w:rsidRDefault="00F7174E" w:rsidP="00F7174E">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F7174E" w:rsidRDefault="00F7174E" w:rsidP="00F7174E">
      <w:pPr>
        <w:pStyle w:val="SemEspaamento"/>
        <w:jc w:val="both"/>
        <w:rPr>
          <w:rFonts w:ascii="Arial" w:hAnsi="Arial" w:cs="Arial"/>
          <w:lang w:eastAsia="pt-BR"/>
        </w:rPr>
      </w:pPr>
      <w:r>
        <w:rPr>
          <w:rFonts w:ascii="Arial" w:hAnsi="Arial" w:cs="Arial"/>
          <w:lang w:eastAsia="pt-BR"/>
        </w:rPr>
        <w:t>Pelo Município, quando:</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F7174E" w:rsidRDefault="00F7174E" w:rsidP="00F7174E">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F7174E" w:rsidRDefault="00F7174E" w:rsidP="00F7174E">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F7174E" w:rsidRDefault="00F7174E" w:rsidP="00F7174E">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F7174E" w:rsidRDefault="00F7174E" w:rsidP="00F7174E">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F7174E" w:rsidRDefault="00F7174E" w:rsidP="00F7174E">
      <w:pPr>
        <w:pStyle w:val="SemEspaamento"/>
        <w:jc w:val="both"/>
        <w:rPr>
          <w:rFonts w:ascii="Arial" w:hAnsi="Arial" w:cs="Arial"/>
          <w:lang w:eastAsia="pt-BR"/>
        </w:rPr>
      </w:pPr>
      <w:r>
        <w:rPr>
          <w:rFonts w:ascii="Arial" w:hAnsi="Arial" w:cs="Arial"/>
          <w:b/>
          <w:bCs/>
          <w:lang w:eastAsia="pt-BR"/>
        </w:rPr>
        <w:lastRenderedPageBreak/>
        <w:t xml:space="preserve">Parágrafo Primeiro - </w:t>
      </w:r>
      <w:r>
        <w:rPr>
          <w:rFonts w:ascii="Arial" w:hAnsi="Arial" w:cs="Arial"/>
          <w:lang w:eastAsia="pt-BR"/>
        </w:rPr>
        <w:t>Somente será efetuado o pagamento mediante apresentação de documento que comprove a regularidade com o FGTS e da CND/INSS.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F7174E" w:rsidRDefault="00F7174E" w:rsidP="00F7174E">
      <w:pPr>
        <w:pStyle w:val="SemEspaamento"/>
        <w:jc w:val="both"/>
        <w:rPr>
          <w:rFonts w:ascii="Arial" w:hAnsi="Arial" w:cs="Arial"/>
          <w:lang w:eastAsia="pt-BR"/>
        </w:rPr>
      </w:pPr>
      <w:r>
        <w:rPr>
          <w:rFonts w:ascii="Arial" w:hAnsi="Arial" w:cs="Arial"/>
          <w:lang w:eastAsia="pt-BR"/>
        </w:rPr>
        <w:t>I - advertência:</w:t>
      </w:r>
    </w:p>
    <w:p w:rsidR="00F7174E" w:rsidRDefault="00F7174E" w:rsidP="00F7174E">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F7174E" w:rsidRDefault="00F7174E" w:rsidP="00F7174E">
      <w:pPr>
        <w:pStyle w:val="SemEspaamento"/>
        <w:jc w:val="both"/>
        <w:rPr>
          <w:rFonts w:ascii="Arial" w:hAnsi="Arial" w:cs="Arial"/>
          <w:lang w:eastAsia="pt-BR"/>
        </w:rPr>
      </w:pPr>
      <w:r>
        <w:rPr>
          <w:rFonts w:ascii="Arial" w:hAnsi="Arial" w:cs="Arial"/>
          <w:lang w:eastAsia="pt-BR"/>
        </w:rPr>
        <w:t>III - rescisão do contrato;</w:t>
      </w:r>
    </w:p>
    <w:p w:rsidR="00F7174E" w:rsidRDefault="00F7174E" w:rsidP="00F7174E">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F7174E" w:rsidRDefault="00F7174E" w:rsidP="00F7174E">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F7174E" w:rsidRDefault="00F7174E" w:rsidP="00F7174E">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F7174E" w:rsidRDefault="00F7174E" w:rsidP="00F7174E">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F7174E" w:rsidRDefault="00F7174E" w:rsidP="00F7174E">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F7174E" w:rsidRDefault="00F7174E" w:rsidP="00F7174E">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F7174E" w:rsidRDefault="00F7174E" w:rsidP="00F7174E">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F7174E" w:rsidRDefault="00F7174E" w:rsidP="00F7174E">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F7174E" w:rsidRDefault="00F7174E" w:rsidP="00F7174E">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shd w:val="clear" w:color="auto" w:fill="FFFFFF"/>
          <w:lang w:eastAsia="pt-BR"/>
        </w:rPr>
      </w:pPr>
      <w:r>
        <w:rPr>
          <w:rFonts w:ascii="Arial" w:hAnsi="Arial" w:cs="Arial"/>
          <w:b/>
          <w:bCs/>
          <w:lang w:eastAsia="pt-BR"/>
        </w:rPr>
        <w:lastRenderedPageBreak/>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F7174E" w:rsidRDefault="00F7174E" w:rsidP="00F7174E">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F7174E" w:rsidRDefault="00F7174E" w:rsidP="00F7174E">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F7174E" w:rsidRDefault="00F7174E" w:rsidP="00F7174E">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F7174E" w:rsidRDefault="00F7174E" w:rsidP="00F7174E">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F7174E" w:rsidRDefault="00F7174E" w:rsidP="00F7174E">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lastRenderedPageBreak/>
        <w:t xml:space="preserve">f) </w:t>
      </w:r>
      <w:r>
        <w:rPr>
          <w:rFonts w:ascii="Arial" w:hAnsi="Arial" w:cs="Arial"/>
          <w:color w:val="000000"/>
          <w:lang w:eastAsia="pt-BR"/>
        </w:rPr>
        <w:t>O valor atualizado não poderá ser superior ao preço de mercado.</w:t>
      </w:r>
    </w:p>
    <w:p w:rsidR="00F7174E" w:rsidRDefault="00F7174E" w:rsidP="00F7174E">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center"/>
        <w:rPr>
          <w:rFonts w:ascii="Arial" w:hAnsi="Arial" w:cs="Arial"/>
          <w:lang w:eastAsia="pt-BR"/>
        </w:rPr>
      </w:pPr>
      <w:r>
        <w:rPr>
          <w:rFonts w:ascii="Arial" w:hAnsi="Arial" w:cs="Arial"/>
          <w:lang w:eastAsia="pt-BR"/>
        </w:rPr>
        <w:t>Cruzeiro do Sul, 26 de julho de 2021.</w:t>
      </w: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lang w:eastAsia="pt-BR"/>
        </w:rPr>
      </w:pPr>
    </w:p>
    <w:p w:rsidR="00F7174E" w:rsidRDefault="00F7174E" w:rsidP="00F7174E">
      <w:pPr>
        <w:pStyle w:val="SemEspaamento"/>
        <w:jc w:val="both"/>
        <w:rPr>
          <w:rFonts w:ascii="Arial" w:hAnsi="Arial" w:cs="Arial"/>
          <w:b/>
          <w:bCs/>
          <w:color w:val="000000"/>
          <w:lang w:eastAsia="pt-BR"/>
        </w:rPr>
      </w:pPr>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SCHUZA COM. DE DES, HIG. E LIM. LTDA</w:t>
      </w: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Pr>
          <w:rFonts w:ascii="Arial" w:hAnsi="Arial" w:cs="Arial"/>
          <w:b/>
          <w:lang w:eastAsia="pt-BR"/>
        </w:rPr>
        <w:t xml:space="preserve">José Jair Borba de </w:t>
      </w:r>
      <w:proofErr w:type="gramStart"/>
      <w:r>
        <w:rPr>
          <w:rFonts w:ascii="Arial" w:hAnsi="Arial" w:cs="Arial"/>
          <w:b/>
          <w:lang w:eastAsia="pt-BR"/>
        </w:rPr>
        <w:t>Souza</w:t>
      </w:r>
      <w:proofErr w:type="gramEnd"/>
    </w:p>
    <w:p w:rsidR="00F7174E" w:rsidRDefault="00F7174E" w:rsidP="00F7174E">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F7174E" w:rsidRDefault="00F7174E" w:rsidP="00F7174E">
      <w:pPr>
        <w:pStyle w:val="SemEspaamento"/>
        <w:jc w:val="both"/>
        <w:rPr>
          <w:rFonts w:ascii="Arial" w:hAnsi="Arial" w:cs="Arial"/>
          <w:b/>
          <w:bCs/>
          <w:lang w:eastAsia="pt-BR"/>
        </w:rPr>
      </w:pPr>
    </w:p>
    <w:p w:rsidR="00F7174E" w:rsidRDefault="00F7174E" w:rsidP="00F7174E">
      <w:pPr>
        <w:pStyle w:val="SemEspaamento"/>
        <w:jc w:val="both"/>
        <w:rPr>
          <w:rFonts w:ascii="Arial" w:hAnsi="Arial" w:cs="Arial"/>
          <w:b/>
          <w:bCs/>
          <w:lang w:eastAsia="pt-BR"/>
        </w:rPr>
      </w:pPr>
    </w:p>
    <w:p w:rsidR="00F7174E" w:rsidRDefault="00F7174E" w:rsidP="00F7174E">
      <w:pPr>
        <w:pStyle w:val="SemEspaamento"/>
        <w:jc w:val="both"/>
        <w:rPr>
          <w:rFonts w:ascii="Arial" w:hAnsi="Arial" w:cs="Arial"/>
          <w:b/>
          <w:bCs/>
          <w:lang w:eastAsia="pt-BR"/>
        </w:rPr>
      </w:pPr>
    </w:p>
    <w:p w:rsidR="00F7174E" w:rsidRDefault="00F7174E" w:rsidP="00F7174E">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F7174E" w:rsidRDefault="00F7174E" w:rsidP="00F7174E">
      <w:pPr>
        <w:pStyle w:val="SemEspaamento"/>
        <w:jc w:val="both"/>
      </w:pPr>
      <w:r>
        <w:rPr>
          <w:rFonts w:ascii="Arial" w:hAnsi="Arial" w:cs="Arial"/>
          <w:lang w:eastAsia="pt-BR"/>
        </w:rPr>
        <w:t>C.P.F.:                                                        C.P.F.:</w:t>
      </w:r>
    </w:p>
    <w:p w:rsidR="00E92932" w:rsidRPr="00F7174E" w:rsidRDefault="00E92932" w:rsidP="00F7174E">
      <w:bookmarkStart w:id="0" w:name="_GoBack"/>
      <w:bookmarkEnd w:id="0"/>
    </w:p>
    <w:sectPr w:rsidR="00E92932" w:rsidRPr="00F717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pPr>
        <w:rPr>
          <w:rFonts w:hint="eastAsia"/>
        </w:rPr>
      </w:pPr>
      <w:r>
        <w:separator/>
      </w:r>
    </w:p>
  </w:endnote>
  <w:endnote w:type="continuationSeparator" w:id="0">
    <w:p w:rsidR="00DD0486" w:rsidRDefault="00DD0486" w:rsidP="00EF6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pPr>
        <w:rPr>
          <w:rFonts w:hint="eastAsia"/>
        </w:rPr>
      </w:pPr>
      <w:r>
        <w:separator/>
      </w:r>
    </w:p>
  </w:footnote>
  <w:footnote w:type="continuationSeparator" w:id="0">
    <w:p w:rsidR="00DD0486" w:rsidRDefault="00DD0486" w:rsidP="00EF6BA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871001"/>
    <w:rsid w:val="009C373A"/>
    <w:rsid w:val="00D2702A"/>
    <w:rsid w:val="00D94FD7"/>
    <w:rsid w:val="00DD0486"/>
    <w:rsid w:val="00E92932"/>
    <w:rsid w:val="00EF6BA5"/>
    <w:rsid w:val="00F7174E"/>
    <w:rsid w:val="00FC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38">
      <w:bodyDiv w:val="1"/>
      <w:marLeft w:val="0"/>
      <w:marRight w:val="0"/>
      <w:marTop w:val="0"/>
      <w:marBottom w:val="0"/>
      <w:divBdr>
        <w:top w:val="none" w:sz="0" w:space="0" w:color="auto"/>
        <w:left w:val="none" w:sz="0" w:space="0" w:color="auto"/>
        <w:bottom w:val="none" w:sz="0" w:space="0" w:color="auto"/>
        <w:right w:val="none" w:sz="0" w:space="0" w:color="auto"/>
      </w:divBdr>
    </w:div>
    <w:div w:id="789544125">
      <w:bodyDiv w:val="1"/>
      <w:marLeft w:val="0"/>
      <w:marRight w:val="0"/>
      <w:marTop w:val="0"/>
      <w:marBottom w:val="0"/>
      <w:divBdr>
        <w:top w:val="none" w:sz="0" w:space="0" w:color="auto"/>
        <w:left w:val="none" w:sz="0" w:space="0" w:color="auto"/>
        <w:bottom w:val="none" w:sz="0" w:space="0" w:color="auto"/>
        <w:right w:val="none" w:sz="0" w:space="0" w:color="auto"/>
      </w:divBdr>
    </w:div>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 w:id="1156068008">
      <w:bodyDiv w:val="1"/>
      <w:marLeft w:val="0"/>
      <w:marRight w:val="0"/>
      <w:marTop w:val="0"/>
      <w:marBottom w:val="0"/>
      <w:divBdr>
        <w:top w:val="none" w:sz="0" w:space="0" w:color="auto"/>
        <w:left w:val="none" w:sz="0" w:space="0" w:color="auto"/>
        <w:bottom w:val="none" w:sz="0" w:space="0" w:color="auto"/>
        <w:right w:val="none" w:sz="0" w:space="0" w:color="auto"/>
      </w:divBdr>
    </w:div>
    <w:div w:id="14041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2021-07-28T18:52:00Z</dcterms:created>
  <dcterms:modified xsi:type="dcterms:W3CDTF">2021-07-28T18:52:00Z</dcterms:modified>
</cp:coreProperties>
</file>